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qr_be8ae14dab5850a84ebe4d88"/>
      <w:pPr>
        <w:pStyle w:val="Title"/>
        <w:keepNext/>
        <w:widowControl/>
        <w:spacing w:after="140"/>
      </w:pPr>
      <w:r>
        <w:rPr>
          <w:rFonts w:ascii="Arial" w:hAnsi="Arial" w:eastAsia="Arial" w:cs="Arial"/>
          <w:b/>
          <w:i w:val="0"/>
          <w:color w:val="000000"/>
          <w:sz w:val="48"/>
        </w:rPr>
        <w:t>Gebäudebegehung · 18. Oktober 2026</w:t>
      </w:r>
      <w:bookmarkEnd w:id="1"/>
    </w:p>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Projektdaten</w:t>
      </w:r>
    </w:p>
    <w:p>
      <w:pPr>
        <w:pStyle w:val="Heading3"/>
        <w:keepNext/>
        <w:keepLines/>
        <w:pageBreakBefore w:val="0"/>
        <w:widowControl/>
        <w:spacing w:after="120" w:before="240"/>
      </w:pPr>
      <w:r>
        <w:rPr>
          <w:rFonts w:ascii="Arial" w:hAnsi="Arial" w:eastAsia="Arial" w:cs="Arial"/>
          <w:b/>
          <w:i w:val="0"/>
          <w:caps/>
          <w:color w:val="4F5954"/>
          <w:sz w:val="18"/>
        </w:rPr>
        <w:t>Projekt</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Objekt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Wohnhaus Lindenhof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Adresse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Musterstraße 12, 12345 Musterstadt</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Beispiel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Fiktives Projekt · 18.10.2026</w:t>
            </w:r>
          </w:p>
        </w:tc>
      </w:tr>
    </w:tbl>
    <w:p>
      <w:pPr>
        <w:pStyle w:val="Heading3"/>
        <w:keepNext/>
        <w:keepLines/>
        <w:pageBreakBefore w:val="0"/>
        <w:widowControl/>
        <w:spacing w:after="120" w:before="240"/>
      </w:pPr>
      <w:r>
        <w:rPr>
          <w:rFonts w:ascii="Arial" w:hAnsi="Arial" w:eastAsia="Arial" w:cs="Arial"/>
          <w:b/>
          <w:i w:val="0"/>
          <w:caps/>
          <w:color w:val="4F5954"/>
          <w:sz w:val="18"/>
        </w:rPr>
        <w:t>Beteiligte</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Bauleitung</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widowControl/>
              <w:spacing w:after="0" w:line="280" w:lineRule="exact"/>
            </w:pPr>
            <w:r>
              <w:rPr>
                <w:rFonts w:ascii="Arial" w:hAnsi="Arial" w:eastAsia="Arial" w:cs="Arial"/>
                <w:b w:val="0"/>
                <w:i w:val="0"/>
                <w:color w:val="172320"/>
                <w:sz w:val="19"/>
              </w:rPr>
              <w:t>lena.weber@lindenbau.example · +49 000 10001</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Auftragnehmer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Jonas Berger</w:t>
            </w:r>
            <w:r>
              <w:rPr>
                <w:rFonts w:ascii="Arial" w:hAnsi="Arial" w:eastAsia="Arial" w:cs="Arial"/>
                <w:b w:val="0"/>
                <w:i w:val="0"/>
                <w:color w:val="4F5954"/>
                <w:sz w:val="21"/>
              </w:rPr>
              <w:t xml:space="preserve"> · Fassadenwerk · Beispiel</w:t>
            </w:r>
          </w:p>
          <w:p>
            <w:pPr>
              <w:keepNext w:val="0"/>
              <w:widowControl/>
              <w:spacing w:after="0" w:line="280" w:lineRule="exact"/>
            </w:pPr>
            <w:r>
              <w:rPr>
                <w:rFonts w:ascii="Arial" w:hAnsi="Arial" w:eastAsia="Arial" w:cs="Arial"/>
                <w:b w:val="0"/>
                <w:i w:val="0"/>
                <w:color w:val="172320"/>
                <w:sz w:val="19"/>
              </w:rPr>
              <w:t>jonas.berger@fassadenwerk.example · +49 000 10003</w:t>
            </w:r>
          </w:p>
        </w:tc>
      </w:tr>
    </w:tbl>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Dokumentationsdetails</w:t>
      </w:r>
    </w:p>
    <w:p>
      <w:pPr>
        <w:pStyle w:val="Heading3"/>
        <w:keepNext/>
        <w:keepLines/>
        <w:pageBreakBefore w:val="0"/>
        <w:widowControl/>
        <w:spacing w:after="120" w:before="240"/>
      </w:pPr>
      <w:r>
        <w:rPr>
          <w:rFonts w:ascii="Arial" w:hAnsi="Arial" w:eastAsia="Arial" w:cs="Arial"/>
          <w:b/>
          <w:i w:val="0"/>
          <w:caps/>
          <w:color w:val="4F5954"/>
          <w:sz w:val="18"/>
        </w:rPr>
        <w:t>Begehung</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Datum</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18.10.2026</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Dokumentationsnummer</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LH-2026-001</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Anlass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Sichtbare Schäden an der Gebäudehülle erfassen und weitere Untersuchungen sowie die Nachverfolgung festlegen.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Objekt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Wohnhaus Lindenhof - Musterstraße 12, 12345 Musterstadt</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Uhrzeit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09:15-11:15 Uhr</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Untersuchungsmethode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Äußere Sichtprüfung von zugänglichen Bereichen auf Geländeniveau</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Erstellt von</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Bausachverständige</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Stand der Nachverfolgung</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19. Oktober 2026</w:t>
            </w:r>
          </w:p>
        </w:tc>
      </w:tr>
    </w:tbl>
    <w:p>
      <w:pPr>
        <w:pStyle w:val="Heading3"/>
        <w:keepNext/>
        <w:keepLines/>
        <w:pageBreakBefore w:val="0"/>
        <w:widowControl/>
        <w:spacing w:after="120" w:before="240"/>
      </w:pPr>
      <w:r>
        <w:rPr>
          <w:rFonts w:ascii="Arial" w:hAnsi="Arial" w:eastAsia="Arial" w:cs="Arial"/>
          <w:b/>
          <w:i w:val="0"/>
          <w:caps/>
          <w:color w:val="4F5954"/>
          <w:sz w:val="18"/>
        </w:rPr>
        <w:t>Teilnehmende an der Begehung</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Bauleitung</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val="0"/>
              <w:widowControl/>
              <w:spacing w:after="0" w:line="280" w:lineRule="exact"/>
            </w:pPr>
            <w:r>
              <w:rPr>
                <w:rFonts w:ascii="Arial" w:hAnsi="Arial" w:eastAsia="Arial" w:cs="Arial"/>
                <w:b w:val="0"/>
                <w:i w:val="0"/>
                <w:color w:val="172320"/>
                <w:sz w:val="19"/>
              </w:rPr>
              <w:t>lena.weber@lindenbau.example · +49 000 10001</w:t>
            </w:r>
          </w:p>
        </w:tc>
      </w:tr>
    </w:tbl>
    <w:p>
      <w:bookmarkStart w:id="2" w:name="qr_c50f61cc953be61187b5c1be"/>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Aufgabenübersicht</w:t>
      </w:r>
      <w:bookmarkEnd w:id="2"/>
    </w:p>
    <w:tbl>
      <w:tblPr>
        <w:tblW w:type="auto" w:w="0"/>
        <w:tblLayout w:type="fixed"/>
        <w:tblLook w:firstColumn="1" w:firstRow="1" w:lastColumn="0" w:lastRow="0" w:noHBand="0" w:noVBand="1" w:val="04A0"/>
      </w:tblPr>
      <w:tblGrid>
        <w:gridCol w:w="2964"/>
        <w:gridCol w:w="1840"/>
        <w:gridCol w:w="1737"/>
        <w:gridCol w:w="1431"/>
        <w:gridCol w:w="1329"/>
        <w:gridCol w:w="920"/>
      </w:tblGrid>
      <w:tr>
        <w:trPr>
          <w:tblHeader/>
          <w:cantSplit/>
        </w:trPr>
        <w:tc>
          <w:tcPr>
            <w:tcW w:type="dxa" w:w="2964"/>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Aufgabe</w:t>
            </w:r>
          </w:p>
        </w:tc>
        <w:tc>
          <w:tcPr>
            <w:tcW w:type="dxa" w:w="1840"/>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Position</w:t>
            </w:r>
          </w:p>
        </w:tc>
        <w:tc>
          <w:tcPr>
            <w:tcW w:type="dxa" w:w="1737"/>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Zuständig</w:t>
            </w:r>
          </w:p>
        </w:tc>
        <w:tc>
          <w:tcPr>
            <w:tcW w:type="dxa" w:w="1431"/>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Status</w:t>
            </w:r>
          </w:p>
        </w:tc>
        <w:tc>
          <w:tcPr>
            <w:tcW w:type="dxa" w:w="1329"/>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Frist</w:t>
            </w:r>
          </w:p>
        </w:tc>
        <w:tc>
          <w:tcPr>
            <w:tcW w:type="dxa" w:w="920"/>
            <w:tcBorders>
              <w:bottom w:val="single" w:sz="3" w:color="D6DEDA"/>
            </w:tcBorders>
            <w:tcMar>
              <w:top w:w="120" w:type="dxa"/>
              <w:left w:w="120" w:type="dxa"/>
              <w:bottom w:w="120" w:type="dxa"/>
              <w:right w:w="120" w:type="dxa"/>
            </w:tcMar>
          </w:tcPr>
          <w:p>
            <w:pPr>
              <w:keepNext/>
              <w:widowControl/>
              <w:spacing w:after="0"/>
              <w:jc w:val="right"/>
            </w:pPr>
            <w:r>
              <w:rPr>
                <w:rFonts w:ascii="Arial" w:hAnsi="Arial" w:eastAsia="Arial" w:cs="Arial"/>
                <w:b/>
                <w:i w:val="0"/>
                <w:color w:val="000000"/>
                <w:sz w:val="18"/>
              </w:rPr>
              <w:t>Seite</w:t>
            </w:r>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5c8ed3811d0da889f72353cc">
              <w:r>
                <w:rPr>
                  <w:rFonts w:ascii="Arial" w:hAnsi="Arial" w:eastAsia="Arial" w:cs="Arial"/>
                  <w:b w:val="0"/>
                  <w:i w:val="0"/>
                  <w:color w:val="000000"/>
                  <w:sz w:val="18"/>
                </w:rPr>
                <w:t>Aufgabe 1 · Begutachtung der beschädigten Balkonkante veranlassen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Pin 1.1.1 · Mangel</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Lena Weber · Lindenbau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In Bearbeitung</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23.10.2026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5c8ed3811d0da889f72353cc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fdad3377d869a1c71971ce5b">
              <w:r>
                <w:rPr>
                  <w:rFonts w:ascii="Arial" w:hAnsi="Arial" w:eastAsia="Arial" w:cs="Arial"/>
                  <w:b w:val="0"/>
                  <w:i w:val="0"/>
                  <w:color w:val="000000"/>
                  <w:sz w:val="18"/>
                </w:rPr>
                <w:t>Aufgabe 2 · Feuchte messen und Fallrohranschluss prüfen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Feuchtigkeit</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Mara König · Planwerk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Offen · Überfällig</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18.10.2026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fdad3377d869a1c71971ce5b \h">
              <w:r>
                <w:rPr>
                  <w:sz w:val="18"/>
                </w:rPr>
                <w:t/>
              </w:r>
            </w:fldSimple>
          </w:p>
        </w:tc>
      </w:tr>
    </w:tbl>
    <w:p>
      <w:pPr>
        <w:spacing w:after="240" w:before="0" w:line="20" w:lineRule="exact"/>
      </w:pPr>
    </w:p>
    <w:p>
      <w:bookmarkStart w:id="3" w:name="qr_2eb63ebd512009570de5a79f"/>
      <w:pPr>
        <w:pStyle w:val="Heading2"/>
        <w:keepNext/>
        <w:keepLines/>
        <w:pageBreakBefore/>
        <w:widowControl/>
        <w:spacing w:after="100" w:before="400"/>
      </w:pPr>
      <w:r>
        <w:rPr>
          <w:rFonts w:ascii="Arial" w:hAnsi="Arial" w:eastAsia="Arial" w:cs="Arial"/>
          <w:b/>
          <w:i w:val="0"/>
          <w:color w:val="000000"/>
          <w:sz w:val="28"/>
        </w:rPr>
        <w:t>Pin 1</w:t>
      </w:r>
      <w:bookmarkEnd w:id="3"/>
    </w:p>
    <w:p>
      <w:pPr>
        <w:keepNext/>
      </w:pPr>
      <w:r>
        <w:drawing>
          <wp:inline xmlns:a="http://schemas.openxmlformats.org/drawingml/2006/main" xmlns:pic="http://schemas.openxmlformats.org/drawingml/2006/picture">
            <wp:extent cx="3708768" cy="4953000"/>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708768" cy="4953000"/>
                    </a:xfrm>
                    <a:prstGeom prst="rect"/>
                  </pic:spPr>
                </pic:pic>
              </a:graphicData>
            </a:graphic>
          </wp:inline>
        </w:drawing>
      </w:r>
    </w:p>
    <w:p>
      <w:bookmarkStart w:id="4" w:name="qr_789a6b490dbb220ee22adf87"/>
      <w:pPr>
        <w:widowControl/>
        <w:spacing w:line="300" w:lineRule="exact" w:after="140"/>
        <w:ind w:right="4379"/>
      </w:pPr>
      <w:r>
        <w:rPr>
          <w:rFonts w:ascii="Arial" w:hAnsi="Arial" w:eastAsia="Arial" w:cs="Arial"/>
          <w:b w:val="0"/>
          <w:i w:val="0"/>
          <w:color w:val="404A42"/>
          <w:sz w:val="18"/>
        </w:rPr>
        <w:t>Abb. 1</w:t>
      </w:r>
      <w:r>
        <w:rPr>
          <w:rFonts w:ascii="Arial" w:hAnsi="Arial" w:eastAsia="Arial" w:cs="Arial"/>
          <w:b w:val="0"/>
          <w:i w:val="0"/>
          <w:color w:val="000000"/>
          <w:sz w:val="18"/>
        </w:rPr>
        <w:t xml:space="preserve">    </w:t>
      </w:r>
      <w:r>
        <w:rPr>
          <w:rFonts w:ascii="Arial" w:hAnsi="Arial" w:eastAsia="Arial" w:cs="Arial"/>
          <w:b w:val="0"/>
          <w:i w:val="0"/>
          <w:color w:val="DC2626"/>
          <w:sz w:val="18"/>
        </w:rPr>
        <w:t>●</w:t>
      </w:r>
      <w:r>
        <w:rPr>
          <w:rFonts w:ascii="Arial" w:hAnsi="Arial" w:eastAsia="Arial" w:cs="Arial"/>
          <w:b w:val="0"/>
          <w:i w:val="0"/>
          <w:color w:val="404A42"/>
          <w:sz w:val="18"/>
        </w:rPr>
        <w:t xml:space="preserve"> Betonschäden</w:t>
      </w:r>
      <w:bookmarkEnd w:id="4"/>
    </w:p>
    <w:p>
      <w:bookmarkStart w:id="5" w:name="qr_a5f4b2674a86a0c14a794e69"/>
      <w:pPr>
        <w:pStyle w:val="Heading2"/>
        <w:keepNext/>
        <w:keepLines/>
        <w:pageBreakBefore/>
        <w:widowControl/>
        <w:spacing w:after="100" w:before="400"/>
      </w:pPr>
      <w:r>
        <w:rPr>
          <w:rFonts w:ascii="Arial" w:hAnsi="Arial" w:eastAsia="Arial" w:cs="Arial"/>
          <w:b/>
          <w:i w:val="0"/>
          <w:color w:val="000000"/>
          <w:sz w:val="28"/>
        </w:rPr>
        <w:t>Pin 1.1</w:t>
      </w:r>
      <w:bookmarkEnd w:id="5"/>
    </w:p>
    <w:p>
      <w:pPr>
        <w:keepNext/>
      </w:pPr>
      <w:r>
        <w:drawing>
          <wp:inline xmlns:a="http://schemas.openxmlformats.org/drawingml/2006/main" xmlns:pic="http://schemas.openxmlformats.org/drawingml/2006/picture">
            <wp:extent cx="3713288" cy="4953000"/>
            <wp:docPr id="2" name="Picture 2"/>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3713288" cy="4953000"/>
                    </a:xfrm>
                    <a:prstGeom prst="rect"/>
                  </pic:spPr>
                </pic:pic>
              </a:graphicData>
            </a:graphic>
          </wp:inline>
        </w:drawing>
      </w:r>
    </w:p>
    <w:p>
      <w:bookmarkStart w:id="6" w:name="qr_b4e2f5ce653c99ed831264cb"/>
      <w:pPr>
        <w:widowControl/>
        <w:spacing w:line="300" w:lineRule="exact" w:after="140"/>
        <w:ind w:right="4372"/>
      </w:pPr>
      <w:r>
        <w:rPr>
          <w:rFonts w:ascii="Arial" w:hAnsi="Arial" w:eastAsia="Arial" w:cs="Arial"/>
          <w:b w:val="0"/>
          <w:i w:val="0"/>
          <w:color w:val="404A42"/>
          <w:sz w:val="18"/>
        </w:rPr>
        <w:t>Abb. 2</w:t>
      </w:r>
      <w:bookmarkEnd w:id="6"/>
    </w:p>
    <w:p>
      <w:bookmarkStart w:id="7" w:name="qr_8812332dc14f8d96b012018e"/>
      <w:pPr>
        <w:pStyle w:val="Heading2"/>
        <w:keepNext/>
        <w:keepLines/>
        <w:pageBreakBefore/>
        <w:widowControl/>
        <w:spacing w:after="100" w:before="400"/>
      </w:pPr>
      <w:r>
        <w:rPr>
          <w:rFonts w:ascii="Arial" w:hAnsi="Arial" w:eastAsia="Arial" w:cs="Arial"/>
          <w:b/>
          <w:i w:val="0"/>
          <w:color w:val="000000"/>
          <w:sz w:val="28"/>
        </w:rPr>
        <w:t>Pin 1.1.1 · Mangel</w:t>
      </w:r>
      <w:bookmarkEnd w:id="7"/>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Betonabplatzung · Balkonunterseite</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3" name="Picture 3"/>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852928" cy="3805402"/>
                          </a:xfrm>
                          <a:prstGeom prst="rect"/>
                        </pic:spPr>
                      </pic:pic>
                    </a:graphicData>
                  </a:graphic>
                </wp:inline>
              </w:drawing>
            </w:r>
          </w:p>
          <w:p>
            <w:bookmarkStart w:id="8" w:name="qr_92c1df3a218085c3c0c2e0d8"/>
            <w:pPr>
              <w:widowControl/>
              <w:spacing w:line="300" w:lineRule="exact" w:after="140"/>
              <w:ind w:right="360"/>
            </w:pPr>
            <w:r>
              <w:rPr>
                <w:rFonts w:ascii="Arial" w:hAnsi="Arial" w:eastAsia="Arial" w:cs="Arial"/>
                <w:b w:val="0"/>
                <w:i w:val="0"/>
                <w:color w:val="404A42"/>
                <w:sz w:val="18"/>
              </w:rPr>
              <w:t>Abb. 3 · Betonabplatzung · Balkonunterseite</w:t>
            </w:r>
            <w:bookmarkEnd w:id="8"/>
          </w:p>
        </w:tc>
        <w:tc>
          <w:tcPr>
            <w:tcW w:type="dxa" w:w="5367"/>
            <w:vAlign w:val="top"/>
          </w:tcPr>
          <w:p>
            <w:pPr>
              <w:keepNext/>
              <w:widowControl/>
              <w:spacing w:after="60" w:line="300" w:lineRule="exact"/>
            </w:pPr>
            <w:r>
              <w:rPr>
                <w:rFonts w:ascii="Arial" w:hAnsi="Arial" w:eastAsia="Arial" w:cs="Arial"/>
                <w:b/>
                <w:i w:val="0"/>
                <w:color w:val="000000"/>
                <w:sz w:val="21"/>
              </w:rPr>
              <w:t>Beurteilung und Untersuchungsbedarf - freiliegende Bewehrung</w:t>
            </w:r>
          </w:p>
          <w:p>
            <w:pPr>
              <w:keepNext w:val="0"/>
              <w:widowControl/>
              <w:spacing w:after="0" w:line="300" w:lineRule="exact"/>
            </w:pPr>
            <w:r>
              <w:rPr>
                <w:rFonts w:ascii="Arial" w:hAnsi="Arial" w:eastAsia="Arial" w:cs="Arial"/>
                <w:b w:val="0"/>
                <w:i w:val="0"/>
                <w:color w:val="000000"/>
                <w:sz w:val="21"/>
              </w:rPr>
              <w:t>Das sichtbare Schadensbild ist mit einer Schädigung der Betondeckung im Zusammenhang mit Bewehrungskorrosion vereinbar. Die auslösende Ursache und das Ausmaß der Korrosion lassen sich anhand der Sichtprüfung nicht bestimmen. Über die sichtbare Öffnung hinaus können weitere gelockerte oder abgelöste Betonbereiche vorhanden sein.</w:t>
              <w:br/>
              <w:br/>
              <w:t>Ein fachkundiger Betoninstandsetzungsbetrieb sollte die Unterseite und die angrenzenden Plattenränder aus unmittelbarer Nähe untersuchen, den Umfang nicht tragfähiger Betonbereiche erfassen sowie Betondeckung und Bewehrungszustand beurteilen. Auch die Plattenoberseite, Abdichtung, Randanschlüsse und Entwässerung sind auf mögliche Eintrittsstellen für Feuchtigkeit zu prüfen. Der Fachkundige sollte den ergänzenden Prüfbedarf und die Notwendigkeit einer statischen Beurteilung festlegen.</w:t>
              <w:br/>
              <w:br/>
              <w:t xml:space="preserve">Die vorsorgliche Absperrung unterhalb der Schadstelle </w:t>
            </w:r>
          </w:p>
        </w:tc>
      </w:tr>
    </w:tbl>
    <w:p>
      <w:pPr>
        <w:spacing w:after="160" w:before="0" w:line="20" w:lineRule="exact"/>
      </w:pPr>
    </w:p>
    <w:p>
      <w:pPr>
        <w:keepNext w:val="0"/>
        <w:widowControl/>
        <w:spacing w:after="140"/>
      </w:pPr>
      <w:r>
        <w:rPr>
          <w:rFonts w:ascii="Arial" w:hAnsi="Arial" w:eastAsia="Arial" w:cs="Arial"/>
          <w:b w:val="0"/>
          <w:i w:val="0"/>
          <w:color w:val="000000"/>
          <w:sz w:val="21"/>
        </w:rPr>
        <w:t>ist bis zur Beurteilung aufrechtzuerhalten. Instandsetzungsmaßnahmen sind aus den Untersuchungsergebnissen abzuleiten; diese Sichtprüfung bestätigt keine uneingeschränkte Nutzbarkeit des Balkons.</w:t>
      </w:r>
    </w:p>
    <w:p>
      <w:pPr>
        <w:pStyle w:val="Heading3"/>
        <w:keepNext/>
        <w:keepLines/>
        <w:pageBreakBefore w:val="0"/>
        <w:widowControl/>
        <w:spacing w:after="140" w:before="440"/>
      </w:pPr>
      <w:r>
        <w:rPr>
          <w:rFonts w:ascii="Arial" w:hAnsi="Arial" w:eastAsia="Arial" w:cs="Arial"/>
          <w:b/>
          <w:i w:val="0"/>
          <w:caps/>
          <w:color w:val="4F5954"/>
          <w:sz w:val="18"/>
        </w:rPr>
        <w:t>Aufgaben und Maßnahmen</w:t>
      </w:r>
    </w:p>
    <w:p>
      <w:bookmarkStart w:id="9" w:name="qr_5c8ed3811d0da889f72353cc"/>
      <w:pPr>
        <w:keepNext/>
        <w:widowControl/>
        <w:spacing w:after="80"/>
      </w:pPr>
      <w:r>
        <w:rPr>
          <w:rFonts w:ascii="Arial" w:hAnsi="Arial" w:eastAsia="Arial" w:cs="Arial"/>
          <w:b/>
          <w:i w:val="0"/>
          <w:color w:val="000000"/>
          <w:sz w:val="24"/>
        </w:rPr>
        <w:t>Aufgabe 1 · Begutachtung der beschädigten Balkonkante veranlassen</w:t>
      </w:r>
      <w:bookmarkEnd w:id="9"/>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Zuständig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Lena Weber · Lindenbau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In Bearbeitung</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Frist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23.10.2026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Kommentare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Der Zugang ist gesichert. Den Ortstermin mit dem Fachbetrieb abstimmen, bevor die Instandsetzung festgelegt wird.</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Nachweise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Abb. 3</w:t>
            </w:r>
          </w:p>
        </w:tc>
      </w:tr>
    </w:tbl>
    <w:p>
      <w:bookmarkStart w:id="10" w:name="qr_cfd78c7c89f391b6f9244870"/>
      <w:pPr>
        <w:pStyle w:val="Heading2"/>
        <w:keepNext/>
        <w:keepLines/>
        <w:pageBreakBefore/>
        <w:widowControl/>
        <w:spacing w:after="100" w:before="400"/>
      </w:pPr>
      <w:r>
        <w:rPr>
          <w:rFonts w:ascii="Arial" w:hAnsi="Arial" w:eastAsia="Arial" w:cs="Arial"/>
          <w:b/>
          <w:i w:val="0"/>
          <w:color w:val="000000"/>
          <w:sz w:val="28"/>
        </w:rPr>
        <w:t>Feuchtigkeit</w:t>
      </w:r>
      <w:bookmarkEnd w:id="10"/>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Feuchtigkeit am Sockel</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4" name="Picture 4"/>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852898" cy="3809999"/>
                          </a:xfrm>
                          <a:prstGeom prst="rect"/>
                        </pic:spPr>
                      </pic:pic>
                    </a:graphicData>
                  </a:graphic>
                </wp:inline>
              </w:drawing>
            </w:r>
          </w:p>
          <w:p>
            <w:bookmarkStart w:id="11" w:name="qr_7262ba3ad91cd09441d56efd"/>
            <w:pPr>
              <w:widowControl/>
              <w:spacing w:line="300" w:lineRule="exact" w:after="140"/>
              <w:ind w:right="360"/>
            </w:pPr>
            <w:r>
              <w:rPr>
                <w:rFonts w:ascii="Arial" w:hAnsi="Arial" w:eastAsia="Arial" w:cs="Arial"/>
                <w:b w:val="0"/>
                <w:i w:val="0"/>
                <w:color w:val="404A42"/>
                <w:sz w:val="18"/>
              </w:rPr>
              <w:t>Abb. 4 · Westfassade - Fallrohr und Sockel</w:t>
            </w:r>
            <w:r>
              <w:br/>
            </w:r>
            <w:r>
              <w:rPr>
                <w:rFonts w:ascii="Arial" w:hAnsi="Arial" w:eastAsia="Arial" w:cs="Arial"/>
                <w:b w:val="0"/>
                <w:i w:val="0"/>
                <w:color w:val="7C3AED"/>
                <w:sz w:val="18"/>
              </w:rPr>
              <w:t>●</w:t>
            </w:r>
            <w:r>
              <w:rPr>
                <w:rFonts w:ascii="Arial" w:hAnsi="Arial" w:eastAsia="Arial" w:cs="Arial"/>
                <w:b w:val="0"/>
                <w:i w:val="0"/>
                <w:color w:val="404A42"/>
                <w:sz w:val="18"/>
              </w:rPr>
              <w:t xml:space="preserve"> Feuchtebezogene Feststellungen</w:t>
            </w:r>
            <w:bookmarkEnd w:id="11"/>
          </w:p>
        </w:tc>
        <w:tc>
          <w:tcPr>
            <w:tcW w:type="dxa" w:w="5367"/>
            <w:vAlign w:val="top"/>
          </w:tcPr>
          <w:p>
            <w:pPr>
              <w:keepNext/>
              <w:widowControl/>
              <w:spacing w:after="60" w:line="300" w:lineRule="exact"/>
            </w:pPr>
            <w:r>
              <w:rPr>
                <w:rFonts w:ascii="Arial" w:hAnsi="Arial" w:eastAsia="Arial" w:cs="Arial"/>
                <w:b/>
                <w:i w:val="0"/>
                <w:color w:val="000000"/>
                <w:sz w:val="21"/>
              </w:rPr>
              <w:t>Lage und Zusammenhang - westlicher Sockel</w:t>
            </w:r>
          </w:p>
          <w:p>
            <w:pPr>
              <w:keepNext w:val="0"/>
              <w:widowControl/>
              <w:spacing w:after="0" w:line="300" w:lineRule="exact"/>
            </w:pPr>
            <w:r>
              <w:rPr>
                <w:rFonts w:ascii="Arial" w:hAnsi="Arial" w:eastAsia="Arial" w:cs="Arial"/>
                <w:b w:val="0"/>
                <w:i w:val="0"/>
                <w:color w:val="000000"/>
                <w:sz w:val="21"/>
              </w:rPr>
              <w:t>Der markierte Bereich liegt am Fuß des Regenfallrohrs an der Westfassade nahe der nordwestlichen Gebäudeecke. Die Übersicht zeigt den Zusammenhang zwischen Verfärbungen, Fallrohr, Kiesstreifen und angrenzendem Gelände. Die verknüpfte Detailaufnahme dokumentiert den Oberflächenzustand.</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5" name="Picture 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852928" cy="3805402"/>
                          </a:xfrm>
                          <a:prstGeom prst="rect"/>
                        </pic:spPr>
                      </pic:pic>
                    </a:graphicData>
                  </a:graphic>
                </wp:inline>
              </w:drawing>
            </w:r>
          </w:p>
          <w:p>
            <w:bookmarkStart w:id="12" w:name="qr_663c16dfb4ea45cb78904860"/>
            <w:pPr>
              <w:widowControl/>
              <w:spacing w:line="300" w:lineRule="exact" w:after="140"/>
              <w:ind w:right="360"/>
            </w:pPr>
            <w:r>
              <w:rPr>
                <w:rFonts w:ascii="Arial" w:hAnsi="Arial" w:eastAsia="Arial" w:cs="Arial"/>
                <w:b w:val="0"/>
                <w:i w:val="0"/>
                <w:color w:val="404A42"/>
                <w:sz w:val="18"/>
              </w:rPr>
              <w:t>Abb. 5 · Feuchtigkeit am Sockel</w:t>
            </w:r>
            <w:bookmarkEnd w:id="12"/>
          </w:p>
        </w:tc>
        <w:tc>
          <w:tcPr>
            <w:tcW w:type="dxa" w:w="5367"/>
            <w:vAlign w:val="top"/>
          </w:tcPr>
          <w:p>
            <w:pPr>
              <w:keepNext/>
              <w:widowControl/>
              <w:spacing w:after="60" w:line="300" w:lineRule="exact"/>
            </w:pPr>
            <w:r>
              <w:rPr>
                <w:rFonts w:ascii="Arial" w:hAnsi="Arial" w:eastAsia="Arial" w:cs="Arial"/>
                <w:b/>
                <w:i w:val="0"/>
                <w:color w:val="000000"/>
                <w:sz w:val="21"/>
              </w:rPr>
              <w:t>Feststellung - Verfärbungen und Ablagerungen am Sockel</w:t>
            </w:r>
          </w:p>
          <w:p>
            <w:pPr>
              <w:keepNext w:val="0"/>
              <w:widowControl/>
              <w:spacing w:after="0" w:line="300" w:lineRule="exact"/>
            </w:pPr>
            <w:r>
              <w:rPr>
                <w:rFonts w:ascii="Arial" w:hAnsi="Arial" w:eastAsia="Arial" w:cs="Arial"/>
                <w:b w:val="0"/>
                <w:i w:val="0"/>
                <w:color w:val="000000"/>
                <w:sz w:val="21"/>
              </w:rPr>
              <w:t>An der Westfassade sind im verputzten Sockelbereich neben dem Regenfallrohr nahe der nordwestlichen Gebäudeecke unregelmäßige dunkle Verfärbungen sichtbar. Die betroffene Fläche ist nach visueller Schätzung etwa 0,60 m breit und reicht bis ungefähr 0,45 m über die angrenzende Geländeoberkante.</w:t>
              <w:br/>
              <w:br/>
              <w:t>Stellenweise sind weißliche Ablagerungen und örtliche Veränderungen der Oberflächenbeschichtung erkennbar. Die Abgrenzung zum darüberliegenden, weniger auffälligen Putz verläuft unregelmäßig. Diese Merkmale sind mit wiederholter Durchfeuchtung und Austrocknung vereinbar; die Ablagerungen wurden jedoch nicht durch Untersuchungen bestimmt.</w:t>
              <w:br/>
              <w:br/>
              <w:t>Materialfeuchtemessungen und eine Untersuchung der verdeckten Wandschichten wurden nicht durchgeführt. Vor der Festlegung von Maßnahmen sind Fallrohrverbindungen und Entwässerungsanschluss, angrenzende Geländehöhen und Sockeldetails zu prüfen sowie vergleichende Feuchtewerte aufzunehmen.</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Aufgaben und Maßnahmen</w:t>
      </w:r>
    </w:p>
    <w:p>
      <w:bookmarkStart w:id="13" w:name="qr_fdad3377d869a1c71971ce5b"/>
      <w:pPr>
        <w:keepNext/>
        <w:widowControl/>
        <w:spacing w:after="80"/>
      </w:pPr>
      <w:r>
        <w:rPr>
          <w:rFonts w:ascii="Arial" w:hAnsi="Arial" w:eastAsia="Arial" w:cs="Arial"/>
          <w:b/>
          <w:i w:val="0"/>
          <w:color w:val="000000"/>
          <w:sz w:val="24"/>
        </w:rPr>
        <w:t>Aufgabe 2 · Feuchte messen und Fallrohranschluss prüfen</w:t>
      </w:r>
      <w:bookmarkEnd w:id="13"/>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Zuständig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Planwerk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Offen · Überfällig</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Frist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18.10.2026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Kommentare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Bitte Messwerte und ein Foto des Anschlusses an dieser Fundstelle ergänzen.</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Nachweise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Abb. 5</w:t>
            </w:r>
          </w:p>
        </w:tc>
      </w:tr>
    </w:tbl>
    <w:sectPr w:rsidR="00FC693F" w:rsidRPr="0006063C" w:rsidSect="00034616">
      <w:headerReference w:type="default" r:id="rId9"/>
      <w:footerReference w:type="default" r:id="rId10"/>
      <w:pgSz w:w="11900" w:h="16840"/>
      <w:pgMar w:top="1600" w:right="840" w:bottom="1400" w:left="840" w:header="480" w:footer="4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 w:lineRule="exact" w:after="120"/>
      <w:pBdr>
        <w:top w:val="single" w:sz="4" w:color="D9E0E5" w:space="6"/>
      </w:pBdr>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320"/>
      <w:gridCol w:w="1900"/>
    </w:tblGrid>
    <w:tr>
      <w:tc>
        <w:tcPr>
          <w:tcW w:type="dxa" w:w="8320"/>
          <w:vAlign w:val="center"/>
        </w:tcPr>
        <w:p>
          <w:pPr>
            <w:spacing w:after="0"/>
            <w:ind w:left="0" w:right="0" w:firstLine="0"/>
          </w:pPr>
          <w:r>
            <w:rPr>
              <w:rFonts w:ascii="Arial" w:hAnsi="Arial" w:eastAsia="Arial" w:cs="Arial"/>
              <w:b w:val="0"/>
              <w:i w:val="0"/>
              <w:color w:val="000000"/>
              <w:sz w:val="16"/>
            </w:rPr>
            <w:t>JUSA Tools</w:t>
            <w:br/>
            <w:t>Münzerstraße 6 · 74080 Heilbronn · Baden-Württemberg · DE</w:t>
            <w:br/>
            <w:t>+4915237286173 · kontakt@jusa.io · jusa.io</w:t>
          </w:r>
        </w:p>
      </w:tc>
      <w:tc>
        <w:tcPr>
          <w:tcW w:type="dxa" w:w="1900"/>
          <w:vAlign w:val="center"/>
        </w:tcPr>
        <w:p>
          <w:pPr>
            <w:spacing w:after="0"/>
            <w:ind w:left="0" w:right="0" w:firstLine="0"/>
            <w:jc w:val="right"/>
          </w:pPr>
          <w:r>
            <w:rPr>
              <w:rFonts w:ascii="Arial" w:hAnsi="Arial" w:eastAsia="Arial" w:cs="Arial"/>
              <w:b w:val="0"/>
              <w:i w:val="0"/>
              <w:color w:val="000000"/>
              <w:sz w:val="16"/>
            </w:rPr>
            <w:t xml:space="preserve">Seite </w:t>
          </w:r>
          <w:fldSimple w:instr="PAGE">
            <w:r>
              <w:rPr>
                <w:sz w:val="16"/>
              </w:rPr>
              <w:t>1</w:t>
            </w:r>
          </w:fldSimple>
          <w:r>
            <w:rPr>
              <w:rFonts w:ascii="Arial" w:hAnsi="Arial" w:eastAsia="Arial" w:cs="Arial"/>
              <w:b w:val="0"/>
              <w:i w:val="0"/>
              <w:color w:val="000000"/>
              <w:sz w:val="16"/>
            </w:rPr>
            <w:t xml:space="preserve"> von </w:t>
          </w:r>
          <w:fldSimple w:instr="NUMPAGES">
            <w:r>
              <w:rPr>
                <w:sz w:val="16"/>
              </w:rP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00"/>
      <w:gridCol w:w="9420"/>
    </w:tblGrid>
    <w:tr>
      <w:tc>
        <w:tcPr>
          <w:tcW w:type="dxa" w:w="800"/>
          <w:vAlign w:val="center"/>
        </w:tcPr>
        <w:p>
          <w:pPr>
            <w:spacing w:after="0"/>
            <w:ind w:left="0" w:right="0" w:firstLine="0"/>
            <w:jc w:val="left"/>
          </w:pPr>
          <w:r>
            <w:drawing>
              <wp:inline xmlns:a="http://schemas.openxmlformats.org/drawingml/2006/main" xmlns:pic="http://schemas.openxmlformats.org/drawingml/2006/picture" distL="0" distR="0" distT="0" distB="0">
                <wp:extent cx="355600" cy="3556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355600" cy="355600"/>
                        </a:xfrm>
                        <a:prstGeom prst="rect"/>
                      </pic:spPr>
                    </pic:pic>
                  </a:graphicData>
                </a:graphic>
              </wp:inline>
            </w:drawing>
          </w:r>
        </w:p>
      </w:tc>
      <w:tc>
        <w:tcPr>
          <w:tcW w:type="dxa" w:w="9420"/>
          <w:vAlign w:val="center"/>
        </w:tcPr>
        <w:p>
          <w:pPr>
            <w:spacing w:after="0"/>
            <w:ind w:left="0" w:right="0" w:firstLine="0"/>
          </w:pPr>
          <w:r>
            <w:rPr>
              <w:rFonts w:ascii="Arial" w:hAnsi="Arial" w:eastAsia="Arial" w:cs="Arial"/>
              <w:b/>
              <w:i w:val="0"/>
              <w:color w:val="000000"/>
              <w:sz w:val="18"/>
            </w:rPr>
            <w:t>JUSA Tools</w:t>
          </w:r>
          <w:r>
            <w:rPr>
              <w:rFonts w:ascii="Arial" w:hAnsi="Arial" w:eastAsia="Arial" w:cs="Arial"/>
              <w:b w:val="0"/>
              <w:i w:val="0"/>
              <w:color w:val="000000"/>
              <w:sz w:val="17"/>
            </w:rPr>
            <w:br/>
            <w:t>Projekt: Wohnhaus Lindenhof · Beispiel</w:t>
          </w:r>
        </w:p>
      </w:tc>
    </w:tr>
  </w:tbl>
  <w:p>
    <w:pPr>
      <w:spacing w:line="20" w:lineRule="exact" w:after="0"/>
      <w:pBdr>
        <w:bottom w:val="single" w:sz="4" w:color="D9E0E5" w:space="6"/>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4"/>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color w:val="000000"/>
      <w:spacing w:val="5"/>
      <w:kern w:val="28"/>
      <w:sz w:val="5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